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EA7" w:rsidRDefault="00777EA7">
      <w:pPr>
        <w:pStyle w:val="ConsPlusNormal"/>
        <w:ind w:firstLine="540"/>
        <w:jc w:val="both"/>
      </w:pPr>
      <w:r>
        <w:rPr>
          <w:b/>
        </w:rPr>
        <w:t>Вопрос:</w:t>
      </w:r>
      <w:r>
        <w:t xml:space="preserve"> Об отражении в бюджетном учете ссудополучателя принятого имущества (нежилых помещений) по договору безвозмездного пользования, заключенному на неопределенный срок.</w:t>
      </w:r>
    </w:p>
    <w:p w:rsidR="00777EA7" w:rsidRDefault="00777EA7">
      <w:pPr>
        <w:pStyle w:val="ConsPlusNormal"/>
        <w:jc w:val="both"/>
      </w:pPr>
    </w:p>
    <w:p w:rsidR="00777EA7" w:rsidRDefault="00777EA7">
      <w:pPr>
        <w:pStyle w:val="ConsPlusNormal"/>
        <w:ind w:firstLine="540"/>
        <w:jc w:val="both"/>
      </w:pPr>
      <w:r>
        <w:rPr>
          <w:b/>
        </w:rPr>
        <w:t>Ответ:</w:t>
      </w:r>
    </w:p>
    <w:p w:rsidR="00777EA7" w:rsidRDefault="00777EA7">
      <w:pPr>
        <w:pStyle w:val="ConsPlusTitle"/>
        <w:spacing w:before="220"/>
        <w:jc w:val="center"/>
      </w:pPr>
      <w:r>
        <w:t>МИНИСТЕРСТВО ФИНАНСОВ РОССИЙСКОЙ ФЕДЕРАЦИИ</w:t>
      </w:r>
    </w:p>
    <w:p w:rsidR="00777EA7" w:rsidRDefault="00777EA7">
      <w:pPr>
        <w:pStyle w:val="ConsPlusTitle"/>
        <w:jc w:val="center"/>
      </w:pPr>
      <w:bookmarkStart w:id="0" w:name="_GoBack"/>
      <w:bookmarkEnd w:id="0"/>
      <w:r>
        <w:t>ПИСЬМО</w:t>
      </w:r>
    </w:p>
    <w:p w:rsidR="00777EA7" w:rsidRDefault="00777EA7">
      <w:pPr>
        <w:pStyle w:val="ConsPlusTitle"/>
        <w:jc w:val="center"/>
      </w:pPr>
      <w:r>
        <w:t>от 7 марта 2018 г. N 02-07-10/14794</w:t>
      </w:r>
    </w:p>
    <w:p w:rsidR="00777EA7" w:rsidRDefault="00777EA7">
      <w:pPr>
        <w:pStyle w:val="ConsPlusNormal"/>
        <w:jc w:val="both"/>
      </w:pPr>
    </w:p>
    <w:p w:rsidR="00777EA7" w:rsidRDefault="00777EA7">
      <w:pPr>
        <w:pStyle w:val="ConsPlusNormal"/>
        <w:ind w:firstLine="540"/>
        <w:jc w:val="both"/>
      </w:pPr>
      <w:r>
        <w:t>Департамент бюджетной методологии и финансовой отчетности в государственном секторе Министерства финансов Российской Федерации (далее - Департамент) рассмотрел письмо от 01.02.2018 по вопросу о порядке отражения в бюджетном учете пользователем (арендатором) имущества - нежилых помещений, принятых на основании договора безвозмездного пользования, заключенного на неопределенный срок, и сообщает.</w:t>
      </w:r>
    </w:p>
    <w:p w:rsidR="00777EA7" w:rsidRDefault="00777EA7">
      <w:pPr>
        <w:pStyle w:val="ConsPlusNormal"/>
        <w:spacing w:before="220"/>
        <w:ind w:firstLine="540"/>
        <w:jc w:val="both"/>
      </w:pPr>
      <w:proofErr w:type="gramStart"/>
      <w:r>
        <w:t xml:space="preserve">Согласно </w:t>
      </w:r>
      <w:hyperlink r:id="rId6" w:history="1">
        <w:r>
          <w:rPr>
            <w:color w:val="0000FF"/>
          </w:rPr>
          <w:t>пункту 36</w:t>
        </w:r>
      </w:hyperlink>
      <w:r>
        <w:t xml:space="preserve"> федерального стандарта бухгалтерского учета для организаций государственного сектора "Об утверждении федерального стандарта бухгалтерского учета для организаций государственного сектора "Концептуальные основы бухгалтерского учета и отчетности организаций государственного сектора", утвержденного приказом Министерства финансов Российской Федерации от 31.12.2016 N 256н (далее - СГС "Концептуальные основы"), для целей бухгалтерского учета, формирования и публичного раскрытия показателей бухгалтерской (финансовой) отчетности активом признается имущество, включая</w:t>
      </w:r>
      <w:proofErr w:type="gramEnd"/>
      <w:r>
        <w:t xml:space="preserve"> находящееся в пользовании субъекта учета, контролируемое им в результате произошедших фактов хозяйственной жизни, от которого ожидается поступление полезного потенциала или экономических выгод.</w:t>
      </w:r>
    </w:p>
    <w:p w:rsidR="00777EA7" w:rsidRDefault="00777EA7">
      <w:pPr>
        <w:pStyle w:val="ConsPlusNormal"/>
        <w:spacing w:before="220"/>
        <w:ind w:firstLine="540"/>
        <w:jc w:val="both"/>
      </w:pPr>
      <w:proofErr w:type="gramStart"/>
      <w:r>
        <w:t>Для целей бухгалтерского учета полезный потенциал, заключенный в активе, - это его пригодность для использования субъектом учета самостоятельно или совместно с другими активами в целях выполнения государственных (муниципальных) функций (полномочий) в соответствии с целями создания субъекта учета, осуществления деятельности по оказанию государственных (муниципальных) услуг либо для управленческих нужд учреждения, не обязательно обеспечивая при этом поступление указанному субъекту учета денежных средств (эквивалентов</w:t>
      </w:r>
      <w:proofErr w:type="gramEnd"/>
      <w:r>
        <w:t xml:space="preserve"> денежных средств) (</w:t>
      </w:r>
      <w:hyperlink r:id="rId7" w:history="1">
        <w:r>
          <w:rPr>
            <w:color w:val="0000FF"/>
          </w:rPr>
          <w:t>пункт 37</w:t>
        </w:r>
      </w:hyperlink>
      <w:r>
        <w:t xml:space="preserve"> СГС "Концептуальные основы").</w:t>
      </w:r>
    </w:p>
    <w:p w:rsidR="00777EA7" w:rsidRDefault="00777EA7">
      <w:pPr>
        <w:pStyle w:val="ConsPlusNormal"/>
        <w:spacing w:before="220"/>
        <w:ind w:firstLine="540"/>
        <w:jc w:val="both"/>
      </w:pPr>
      <w:r>
        <w:t xml:space="preserve">В </w:t>
      </w:r>
      <w:proofErr w:type="gramStart"/>
      <w:r>
        <w:t>соответствии</w:t>
      </w:r>
      <w:proofErr w:type="gramEnd"/>
      <w:r>
        <w:t xml:space="preserve"> с договором безвозмездного пользования нежилыми помещениями ссудополучатель получает право пользования активом (нежилым помещением) для извлечения его полезного потенциала в целях выполнения государственных (муниципальных) функций (полномочий), одновременно принимая обязательства в отношении основных условий пользования и содержания имуществом.</w:t>
      </w:r>
    </w:p>
    <w:p w:rsidR="00777EA7" w:rsidRDefault="00777EA7">
      <w:pPr>
        <w:pStyle w:val="ConsPlusNormal"/>
        <w:spacing w:before="220"/>
        <w:ind w:firstLine="540"/>
        <w:jc w:val="both"/>
      </w:pPr>
      <w:r>
        <w:t>С учетом изложенного для целей бухгалтерского учета право пользования ссудополучателя нежилым помещением следует признавать в качестве объекта учета аренды.</w:t>
      </w:r>
    </w:p>
    <w:p w:rsidR="00777EA7" w:rsidRDefault="00777EA7">
      <w:pPr>
        <w:pStyle w:val="ConsPlusNormal"/>
        <w:spacing w:before="220"/>
        <w:ind w:firstLine="540"/>
        <w:jc w:val="both"/>
      </w:pPr>
      <w:proofErr w:type="gramStart"/>
      <w:r>
        <w:t xml:space="preserve">Согласно положениям федерального </w:t>
      </w:r>
      <w:hyperlink r:id="rId8" w:history="1">
        <w:r>
          <w:rPr>
            <w:color w:val="0000FF"/>
          </w:rPr>
          <w:t>стандарта</w:t>
        </w:r>
      </w:hyperlink>
      <w:r>
        <w:t xml:space="preserve"> бухгалтерского учета для организаций государственного сектора "Аренда" (далее - СГС "Аренда") объекты учета аренды классифицируются для целей бухгалтерского учета в зависимости от предполагаемого срока использования имущества по отношению к оставшемуся сроку полезного использования передаваемого объекта, величины арендных платежей по отношению к справедливой стоимости объекта учета аренды и соблюдения иных условий, предусмотренных </w:t>
      </w:r>
      <w:hyperlink r:id="rId9" w:history="1">
        <w:r>
          <w:rPr>
            <w:color w:val="0000FF"/>
          </w:rPr>
          <w:t>пунктами 12</w:t>
        </w:r>
      </w:hyperlink>
      <w:r>
        <w:t xml:space="preserve"> - </w:t>
      </w:r>
      <w:hyperlink r:id="rId10" w:history="1">
        <w:r>
          <w:rPr>
            <w:color w:val="0000FF"/>
          </w:rPr>
          <w:t>14</w:t>
        </w:r>
      </w:hyperlink>
      <w:r>
        <w:t xml:space="preserve"> СГС "Аренда", либо</w:t>
      </w:r>
      <w:proofErr w:type="gramEnd"/>
      <w:r>
        <w:t xml:space="preserve"> объектами учета операционной аренды, либо объектами учета </w:t>
      </w:r>
      <w:proofErr w:type="spellStart"/>
      <w:r>
        <w:t>неоперационной</w:t>
      </w:r>
      <w:proofErr w:type="spellEnd"/>
      <w:r>
        <w:t xml:space="preserve"> (финансовой) аренды.</w:t>
      </w:r>
    </w:p>
    <w:p w:rsidR="00777EA7" w:rsidRDefault="00777EA7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11" w:history="1">
        <w:r>
          <w:rPr>
            <w:color w:val="0000FF"/>
          </w:rPr>
          <w:t>статье 6</w:t>
        </w:r>
      </w:hyperlink>
      <w:r>
        <w:t xml:space="preserve"> Бюджетного кодекса Российской Федерации обоснование бюджетных ассигнований является документом, характеризующим бюджетные ассигнования в очередном финансовом году (очередном финансовом году и плановом периоде).</w:t>
      </w:r>
    </w:p>
    <w:p w:rsidR="00777EA7" w:rsidRDefault="00777EA7">
      <w:pPr>
        <w:pStyle w:val="ConsPlusNormal"/>
        <w:spacing w:before="220"/>
        <w:ind w:firstLine="540"/>
        <w:jc w:val="both"/>
      </w:pPr>
      <w:r>
        <w:t xml:space="preserve">При этом к бюджетным ассигнованиям относятся </w:t>
      </w:r>
      <w:proofErr w:type="gramStart"/>
      <w:r>
        <w:t>ассигнования</w:t>
      </w:r>
      <w:proofErr w:type="gramEnd"/>
      <w:r>
        <w:t xml:space="preserve"> в том числе на оказание государственных (муниципальных) услуг (выполнение работ), включая ассигнования на закупки товаров, работ, услуг для обеспечения государственных (муниципальных) нужд (далее - ассигнования на обеспечение выполнения функций).</w:t>
      </w:r>
    </w:p>
    <w:p w:rsidR="00777EA7" w:rsidRDefault="00777EA7">
      <w:pPr>
        <w:pStyle w:val="ConsPlusNormal"/>
        <w:spacing w:before="220"/>
        <w:ind w:firstLine="540"/>
        <w:jc w:val="both"/>
      </w:pPr>
      <w:r>
        <w:t xml:space="preserve">С учетом положений Бюджетного </w:t>
      </w:r>
      <w:hyperlink r:id="rId12" w:history="1">
        <w:r>
          <w:rPr>
            <w:color w:val="0000FF"/>
          </w:rPr>
          <w:t>кодекса</w:t>
        </w:r>
      </w:hyperlink>
      <w:r>
        <w:t xml:space="preserve"> Российской Федерации каждый участник бюджетного процесса формирует обоснование бюджетных ассигнований, в том числе ассигнований на обеспечение </w:t>
      </w:r>
      <w:r>
        <w:lastRenderedPageBreak/>
        <w:t>выполнения функций, предусматривая расходы по содержанию имущества на очередной финансовый год и плановый период (далее - бюджетный цикл).</w:t>
      </w:r>
    </w:p>
    <w:p w:rsidR="00777EA7" w:rsidRDefault="00777EA7">
      <w:pPr>
        <w:pStyle w:val="ConsPlusNormal"/>
        <w:spacing w:before="220"/>
        <w:ind w:firstLine="540"/>
        <w:jc w:val="both"/>
      </w:pPr>
      <w:hyperlink r:id="rId13" w:history="1">
        <w:proofErr w:type="gramStart"/>
        <w:r>
          <w:rPr>
            <w:color w:val="0000FF"/>
          </w:rPr>
          <w:t>Пунктом 77</w:t>
        </w:r>
      </w:hyperlink>
      <w:r>
        <w:t xml:space="preserve"> СГС "Концептуальные основы" предусмотрено применение при ведении бухгалтерского учета допущения непрерывности деятельности, которое означает, что субъект учета (субъект отчетности) будет продолжать свою деятельность, выполнять свои полномочия (функции) и обязательства не менее четырех лет начиная с года, за который была сформирована последняя бухгалтерская (финансовая) отчетность (далее - обозримое будущее), и у его собственника (учредителя) отсутствуют намерения и (или) необходимость ликвидировать</w:t>
      </w:r>
      <w:proofErr w:type="gramEnd"/>
      <w:r>
        <w:t xml:space="preserve"> субъект учета (субъект отчетности) или прекратить его деятельность в обозримом будущем.</w:t>
      </w:r>
    </w:p>
    <w:p w:rsidR="00777EA7" w:rsidRDefault="00777EA7">
      <w:pPr>
        <w:pStyle w:val="ConsPlusNormal"/>
        <w:spacing w:before="220"/>
        <w:ind w:firstLine="540"/>
        <w:jc w:val="both"/>
      </w:pPr>
      <w:r>
        <w:t xml:space="preserve">Таким образом, в случае если договор безвозмездного пользования имуществом (нежилым помещением) заключен на неопределенный срок и в соответствии с условиями договора в любое </w:t>
      </w:r>
      <w:proofErr w:type="gramStart"/>
      <w:r>
        <w:t>время</w:t>
      </w:r>
      <w:proofErr w:type="gramEnd"/>
      <w:r>
        <w:t xml:space="preserve"> может быть расторгнут согласно </w:t>
      </w:r>
      <w:hyperlink r:id="rId14" w:history="1">
        <w:r>
          <w:rPr>
            <w:color w:val="0000FF"/>
          </w:rPr>
          <w:t>статье 610</w:t>
        </w:r>
      </w:hyperlink>
      <w:r>
        <w:t xml:space="preserve"> Гражданского кодекса Российской Федерации, а обоснованиями бюджетных ассигнований предусмотрены расходы на содержание такого имущества (нежилого помещения) для использования его субъектом учета в целях обеспечения выполняемых им функций на весь период бюджетного цикла, то для целей бухгалтерского учета полученное право пользования имуществом (нежилым помещением) признается активом.</w:t>
      </w:r>
    </w:p>
    <w:p w:rsidR="00777EA7" w:rsidRDefault="00777EA7">
      <w:pPr>
        <w:pStyle w:val="ConsPlusNormal"/>
        <w:spacing w:before="220"/>
        <w:ind w:firstLine="540"/>
        <w:jc w:val="both"/>
      </w:pPr>
      <w:r>
        <w:t>При признании указанного актива следует классифицировать его как объект учета операционной аренды, полагаясь на принцип допущения непрерывности деятельности субъекта учета, принимая во внимание период бюджетного цикла и рыночную стоимость арендных платежей по аналогичным объектам имущества.</w:t>
      </w:r>
    </w:p>
    <w:p w:rsidR="00777EA7" w:rsidRDefault="00777EA7">
      <w:pPr>
        <w:pStyle w:val="ConsPlusNormal"/>
        <w:spacing w:before="220"/>
        <w:ind w:firstLine="540"/>
        <w:jc w:val="both"/>
      </w:pPr>
      <w:proofErr w:type="gramStart"/>
      <w:r>
        <w:t xml:space="preserve">Обращаем внимание, что при отражении в бюджетном учете объектов учета операционной аренды следует руководствоваться Методическими </w:t>
      </w:r>
      <w:hyperlink r:id="rId15" w:history="1">
        <w:r>
          <w:rPr>
            <w:color w:val="0000FF"/>
          </w:rPr>
          <w:t>указаниями</w:t>
        </w:r>
      </w:hyperlink>
      <w:r>
        <w:t xml:space="preserve"> по применению федерального стандарта бухгалтерского учета для организаций государственного сектора "Аренда" (письмо от 13.12.2017 N 02-07-07/83464), размещенными на официальном сайте Министерства финансов Российской Федерации в разделе "Бухгалтерский учет и бухгалтерская (финансовая) отчетность государственного сектора/Методический кабинет".</w:t>
      </w:r>
      <w:proofErr w:type="gramEnd"/>
      <w:r>
        <w:t xml:space="preserve"> Интернет-адрес сайта - http://www.minfin.ru.</w:t>
      </w:r>
    </w:p>
    <w:p w:rsidR="00777EA7" w:rsidRDefault="00777EA7">
      <w:pPr>
        <w:pStyle w:val="ConsPlusNormal"/>
        <w:jc w:val="both"/>
      </w:pPr>
    </w:p>
    <w:p w:rsidR="00777EA7" w:rsidRDefault="00777EA7">
      <w:pPr>
        <w:pStyle w:val="ConsPlusNormal"/>
        <w:jc w:val="right"/>
      </w:pPr>
      <w:r>
        <w:t>Заместитель директора Департамента</w:t>
      </w:r>
    </w:p>
    <w:p w:rsidR="00777EA7" w:rsidRDefault="00777EA7">
      <w:pPr>
        <w:pStyle w:val="ConsPlusNormal"/>
        <w:jc w:val="right"/>
      </w:pPr>
      <w:r>
        <w:t>бюджетной методологии</w:t>
      </w:r>
    </w:p>
    <w:p w:rsidR="00777EA7" w:rsidRDefault="00777EA7">
      <w:pPr>
        <w:pStyle w:val="ConsPlusNormal"/>
        <w:jc w:val="right"/>
      </w:pPr>
      <w:r>
        <w:t>и финансовой отчетности</w:t>
      </w:r>
    </w:p>
    <w:p w:rsidR="00777EA7" w:rsidRDefault="00777EA7">
      <w:pPr>
        <w:pStyle w:val="ConsPlusNormal"/>
        <w:jc w:val="right"/>
      </w:pPr>
      <w:r>
        <w:t>в государственном секторе</w:t>
      </w:r>
    </w:p>
    <w:p w:rsidR="00777EA7" w:rsidRDefault="00777EA7">
      <w:pPr>
        <w:pStyle w:val="ConsPlusNormal"/>
        <w:jc w:val="right"/>
      </w:pPr>
      <w:r>
        <w:t>С.В.СИВЕЦ</w:t>
      </w:r>
    </w:p>
    <w:p w:rsidR="00777EA7" w:rsidRDefault="00777EA7">
      <w:pPr>
        <w:pStyle w:val="ConsPlusNormal"/>
      </w:pPr>
      <w:r>
        <w:t>07.03.2018</w:t>
      </w:r>
    </w:p>
    <w:p w:rsidR="00777EA7" w:rsidRDefault="00777EA7">
      <w:pPr>
        <w:pStyle w:val="ConsPlusNormal"/>
        <w:jc w:val="both"/>
      </w:pPr>
    </w:p>
    <w:p w:rsidR="00777EA7" w:rsidRDefault="00777EA7">
      <w:pPr>
        <w:pStyle w:val="ConsPlusNormal"/>
        <w:jc w:val="both"/>
      </w:pPr>
    </w:p>
    <w:p w:rsidR="00777EA7" w:rsidRDefault="00777EA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774E9" w:rsidRDefault="00C774E9"/>
    <w:sectPr w:rsidR="00C774E9" w:rsidSect="00AC03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EA7"/>
    <w:rsid w:val="00777EA7"/>
    <w:rsid w:val="00AC03AF"/>
    <w:rsid w:val="00C774E9"/>
    <w:rsid w:val="00E23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E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77E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77E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E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77E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77E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AFD84768FF17C21E611A6EAEDC934173574A1A899EF6742C13A42CAD755A7C72DC32B27CA399ED91C2F0E39C8F311AEF7AB6D753BE8AF3tF49R" TargetMode="External"/><Relationship Id="rId13" Type="http://schemas.openxmlformats.org/officeDocument/2006/relationships/hyperlink" Target="consultantplus://offline/ref=7EAFD84768FF17C21E611A6EAEDC934173574A188E96F6742C13A42CAD755A7C72DC32B27CA39BEE95C2F0E39C8F311AEF7AB6D753BE8AF3tF49R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EAFD84768FF17C21E611A6EAEDC934173574A188E96F6742C13A42CAD755A7C72DC32B27CA398EF92C2F0E39C8F311AEF7AB6D753BE8AF3tF49R" TargetMode="External"/><Relationship Id="rId12" Type="http://schemas.openxmlformats.org/officeDocument/2006/relationships/hyperlink" Target="consultantplus://offline/ref=7EAFD84768FF17C21E611A6EAEDC934173544C1C8D9EF6742C13A42CAD755A7C60DC6ABE7DA687EF92D7A6B2D9tD42R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EAFD84768FF17C21E611A6EAEDC934173574A188E96F6742C13A42CAD755A7C72DC32B27CA398EE94C2F0E39C8F311AEF7AB6D753BE8AF3tF49R" TargetMode="External"/><Relationship Id="rId11" Type="http://schemas.openxmlformats.org/officeDocument/2006/relationships/hyperlink" Target="consultantplus://offline/ref=7EAFD84768FF17C21E611A6EAEDC934173544C1C8D9EF6742C13A42CAD755A7C72DC32BB7AA092BAC28DF1BFD9DF221AEB7AB5D64CtB44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EAFD84768FF17C21E611A6EAEDC9341735E49188D97F6742C13A42CAD755A7C72DC32B27CA399EE95C2F0E39C8F311AEF7AB6D753BE8AF3tF49R" TargetMode="External"/><Relationship Id="rId10" Type="http://schemas.openxmlformats.org/officeDocument/2006/relationships/hyperlink" Target="consultantplus://offline/ref=7EAFD84768FF17C21E611A6EAEDC934173574A1A899EF6742C13A42CAD755A7C72DC32B27CA399EB91C2F0E39C8F311AEF7AB6D753BE8AF3tF49R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EAFD84768FF17C21E611A6EAEDC934173574A1A899EF6742C13A42CAD755A7C72DC32B27CA399ED94C2F0E39C8F311AEF7AB6D753BE8AF3tF49R" TargetMode="External"/><Relationship Id="rId14" Type="http://schemas.openxmlformats.org/officeDocument/2006/relationships/hyperlink" Target="consultantplus://offline/ref=7EAFD84768FF17C21E611A6EAEDC9341735E481B899EF6742C13A42CAD755A7C72DC32B27CA39FE991C2F0E39C8F311AEF7AB6D753BE8AF3tF49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45535-2065-48B9-BAEA-0FDCD05F0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СЕЛЕЗНЕВА ГАЛИНА АНАТОЛЬЕВНА</dc:creator>
  <cp:lastModifiedBy>СЕЛЕЗНЕВА ГАЛИНА АНАТОЛЬЕВНА</cp:lastModifiedBy>
  <cp:revision>2</cp:revision>
  <dcterms:created xsi:type="dcterms:W3CDTF">2018-11-15T17:56:00Z</dcterms:created>
  <dcterms:modified xsi:type="dcterms:W3CDTF">2018-11-15T17:57:00Z</dcterms:modified>
</cp:coreProperties>
</file>